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5pt;margin-top:4.7pt;width:501.3pt;height:733.05pt;z-index:251642368" o:allowincell="f" filled="f" stroked="f">
                  <v:textbox style="mso-next-textbox:#_x0000_s1026">
                    <w:txbxContent>
                      <w:p w:rsidR="00AE1E3D" w:rsidRPr="00155CCE" w:rsidRDefault="00AE1E3D" w:rsidP="00155CCE">
                        <w:pPr>
                          <w:jc w:val="both"/>
                          <w:rPr>
                            <w:rFonts w:ascii="Arial" w:hAnsi="Arial" w:cs="Arial"/>
                            <w:spacing w:val="20"/>
                            <w:sz w:val="24"/>
                            <w:szCs w:val="24"/>
                          </w:rPr>
                        </w:pPr>
                      </w:p>
                      <w:p w:rsidR="00AE1E3D" w:rsidRPr="00C55A7F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ГЛАВА 1 </w:t>
                        </w:r>
                        <w:r w:rsidRPr="00181B9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Основные</w:t>
                        </w:r>
                        <w:r w:rsidRPr="00181B9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характеристик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 территории сельского поселения </w:t>
                        </w:r>
                        <w:r w:rsidRPr="00C55A7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Силантьевский сельсовет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77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1.1 Краткая характеристика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поселения</w:t>
                        </w:r>
                        <w:r w:rsidRPr="006A677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. Географическое положение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поселения.</w:t>
                        </w:r>
                      </w:p>
                      <w:p w:rsidR="00AE1E3D" w:rsidRPr="006A677A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5A7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Сельское поселение Силантьевский сельсовет расположен в центральной части Бирского района Граничит с поселениями: с севера- с городским поселением город Бирск; с запада-Кусекеевским и Старобазановским сельсоветами; с юга- с Старопетровским сельсоветом; с востока- с Угузевским сельсоветом. Центральная усадьба – с. Силантьево. До  районного центра г. Бирска 9 км.  До Уфы -102 км.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150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Территория поселения составляет 92,9 км². Население на 01.01.2012 г. составило 1,05 тыс. человек. Численность населенных пунктов-4 .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Район сельскохозяйственный, основные отрасли — зерновое хозяйство, мясомолочное скотоводство. 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Сельское поселение пересекают дороги регионального значения и муниципального значения..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5A7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Территорию поселения пересекают ВЛ- 35 и газопроводы высокого давления Челябинск-Петровск.</w:t>
                        </w:r>
                      </w:p>
                      <w:p w:rsidR="00AE1E3D" w:rsidRDefault="00AE1E3D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Рекреационные функции в поселении развиты слабо.</w:t>
                        </w:r>
                      </w:p>
                      <w:p w:rsidR="00AE1E3D" w:rsidRDefault="00AE1E3D" w:rsidP="005866F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Связь района со столицей республики осуществляется автодорогой регионального значения. Уфа-Бирск-Янаул, с соседними регионами Бирск-Караидель-Тастуба-Сатка(Челябинская область).Ближайшая железнодорожная станция находится в Уфе.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519.6pt;margin-top:.5pt;width:21.6pt;height:28.8pt;z-index:251644416" o:allowincell="f" filled="f" stroked="f">
                  <v:textbox style="mso-next-textbox:#_x0000_s1027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28" style="position:absolute;margin-left:-1.1pt;margin-top:4.7pt;width:12.45pt;height:1in;z-index:251641344;mso-position-horizontal-relative:text;mso-position-vertical-relative:text" o:allowincell="f" filled="f" strokecolor="white" strokeweight="1pt">
                  <v:textbox style="layout-flow:vertical;mso-layout-flow-alt:bottom-to-top;mso-next-textbox:#_x0000_s1028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29" style="position:absolute;left:0;text-align:left;margin-left:-.5pt;margin-top:14.5pt;width:12.45pt;height:1in;z-index:251639296;mso-position-horizontal-relative:text;mso-position-vertical-relative:text" o:allowincell="f" filled="f" strokecolor="white" strokeweight="1pt">
                  <v:textbox style="layout-flow:vertical;mso-layout-flow-alt:bottom-to-top;mso-next-textbox:#_x0000_s1029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0" style="position:absolute;left:0;text-align:left;margin-left:-1.1pt;margin-top:4.3pt;width:12.45pt;height:64.8pt;z-index:251640320;mso-position-horizontal-relative:text;mso-position-vertical-relative:text" o:allowincell="f" filled="f" strokecolor="white" strokeweight="1pt">
                  <v:textbox style="layout-flow:vertical;mso-layout-flow-alt:bottom-to-top;mso-next-textbox:#_x0000_s1030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1" style="position:absolute;left:0;text-align:left;z-index:25164339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519.6pt;margin-top:.5pt;width:21.6pt;height:28.8pt;z-index:251649536" o:allowincell="f" filled="f" stroked="f">
                  <v:textbox style="mso-next-textbox:#_x0000_s1032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Pr="00DA5DE7" w:rsidRDefault="00AE1E3D" w:rsidP="00BF4B28">
            <w:pPr>
              <w:ind w:left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1.2.Характеристика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природн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о- климатических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условий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AE1E3D" w:rsidRPr="00021D51" w:rsidRDefault="00AE1E3D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Климат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сельского поселения </w:t>
            </w:r>
            <w:r w:rsidRPr="00B860BB">
              <w:rPr>
                <w:rFonts w:ascii="Arial" w:hAnsi="Arial" w:cs="Arial"/>
                <w:sz w:val="24"/>
                <w:szCs w:val="24"/>
              </w:rPr>
              <w:t>Силантьевский с</w:t>
            </w:r>
            <w:r>
              <w:rPr>
                <w:rFonts w:ascii="Arial" w:hAnsi="Arial" w:cs="Arial"/>
                <w:sz w:val="24"/>
                <w:szCs w:val="24"/>
              </w:rPr>
              <w:t xml:space="preserve">ельсовет расположена в степной зоне и характеризуется континентальным климатом. Строительно-климатическая зона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всего года здесь преобладает антициклональная  циркуляция, обуславливающая холодную продолжительную зиму и теплое, иногда жаркое сухое лето.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Южные и западные циклоны сопровождаются зимой потеплением, усилением ветра, сильными метелями и снегопадами.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Летом в этом случае погода становиться пасмурной и прохладной, но длится недолго.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Переходные периоды короткие и интенсивные.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Годовая продолжительность солнечного сияния 1923 часа с максимумом в июне (300 часов) и минимумом в декабре (40 часов).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Вследствие большой облачности, наблюденное число часов солнечного сияния по сравнению с возможной составляет в среднем за год 47%.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Среднегодовая температура воздуха равна 14.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Средняя температура января, самого холодного месяца составляет -15,8°, июля +18, 5°.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минимум - 44° отмечался в январе.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максимум +38° отмечался в июле.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активной вегетации растений продолжается более 4-х месяцев с начала мая до середины сентября. Сумма температур выше 10 °, которая накапливается за этот период, составляет 2230°.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Теплом обеспечены все основные культуры открытого грунта. Но весенние засухи и суховеи снижают степень благоприятности для ведения сельского хозяйства и агроклиматические условия характеризуются как ограниченно благоприятные.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Среднегодовая относительная влажность 74%.Годовая сумма осадков 507 мм, 65% этой суммы приходиться на теплый период.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Устойчивый снежный покров держится 5 месяцев- с середины ноября и разрушается в середине апреля. Высота снежного покрова 45 см. Максимальный объем снегопереноса в среднем на зиму составляет 400 м³/м.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Преобладающие направления ветров в течение года-южные и юго-западные.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летний период отличается некоторое увеличение С и СЗ направлений, в зимний- господствуют ветры южного направления. Среднегодовая скорость  ветра  на территории 4,3 м/с.За год насчитывается 22 дня с сильным ветром(более 15 м/с, 41 день с метелью, 23 дня с туманом, 29 дней с грозой, 13 дней с градом).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климатическим условиям территория благоприятна для хозяйственного освоения, ограниченно-благоприятна для строительства из-за удорожания, вызванного необходимостью максимальной теплозащиты зданий и сооружений, а также организаций ветро- и снегозащиты со стороны южных ветров.</w:t>
            </w:r>
          </w:p>
          <w:p w:rsidR="00AE1E3D" w:rsidRPr="007A4960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1E3D" w:rsidRDefault="00AE1E3D" w:rsidP="00BF4B28">
            <w:pPr>
              <w:ind w:left="567"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33" style="position:absolute;margin-left:-1.1pt;margin-top:4.7pt;width:12.45pt;height:1in;z-index:251647488;mso-position-horizontal-relative:text;mso-position-vertical-relative:text" o:allowincell="f" filled="f" strokecolor="white" strokeweight="1pt">
                  <v:textbox style="layout-flow:vertical;mso-layout-flow-alt:bottom-to-top;mso-next-textbox:#_x0000_s1033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4" style="position:absolute;left:0;text-align:left;margin-left:-.5pt;margin-top:14.5pt;width:12.45pt;height:1in;z-index:251645440;mso-position-horizontal-relative:text;mso-position-vertical-relative:text" o:allowincell="f" filled="f" strokecolor="white" strokeweight="1pt">
                  <v:textbox style="layout-flow:vertical;mso-layout-flow-alt:bottom-to-top;mso-next-textbox:#_x0000_s1034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5" style="position:absolute;left:0;text-align:left;margin-left:-1.1pt;margin-top:4.3pt;width:12.45pt;height:64.8pt;z-index:251646464;mso-position-horizontal-relative:text;mso-position-vertical-relative:text" o:allowincell="f" filled="f" strokecolor="white" strokeweight="1pt">
                  <v:textbox style="layout-flow:vertical;mso-layout-flow-alt:bottom-to-top;mso-next-textbox:#_x0000_s1035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6" style="position:absolute;left:0;text-align:left;z-index:25164851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519.6pt;margin-top:.5pt;width:21.6pt;height:28.8pt;z-index:251654656" o:allowincell="f" filled="f" stroked="f">
                  <v:textbox style="mso-next-textbox:#_x0000_s1037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Расчетные температуры для проектирования отопления и вентиляции соответственно равны – 33 и -19°.Продолжительность отопительного периода 214 дней.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ограниченно-благоприятна для сельского хозяйства.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точки зрения рекреации территория оценивается как ограниченно-благоприятная.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Целесообразно на территории строительство учреждений отдыха круглогодичного действия.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A4E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A4EF4">
              <w:rPr>
                <w:rFonts w:ascii="Arial" w:hAnsi="Arial" w:cs="Arial"/>
                <w:b/>
                <w:bCs/>
                <w:sz w:val="24"/>
                <w:szCs w:val="24"/>
              </w:rPr>
              <w:t>.2.Рельеф и геологическое строение</w:t>
            </w: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Район расположен в пределах Прибельской холмисто-увал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1A4EF4">
              <w:rPr>
                <w:rFonts w:ascii="Arial" w:hAnsi="Arial" w:cs="Arial"/>
                <w:sz w:val="24"/>
                <w:szCs w:val="24"/>
              </w:rPr>
              <w:t>стой равнины, расчлененной долинами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 и ее притоков. Абсолютные отметки водоразделов 150-240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Поверхность равнины расчленена многочисленными оврагами, балками. Овраги растущие, разветвленные глубиной до 10-20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 дну оврагов нередко протекают временные водотоки. Кроме того поверхность равнины расположена карстовыми воронками, понижениями, которые наиболее распространены на склонах водоразделов.</w:t>
            </w: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Долина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Белой, самой крупной водной артерии района, глубокого врезана, ассиметрична и имеет ширину 5-11 км.</w:t>
            </w: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В долине реки выделяются пойма и две надпойменные террасы.</w:t>
            </w: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Поверхность поймы с абсолютными отметками 78-90 м характеризуется плоской, местами заболоченной, аллювиальной равниной, расчлененной старицами, протоками, озерами.</w:t>
            </w:r>
          </w:p>
          <w:p w:rsidR="00AE1E3D" w:rsidRPr="001A4EF4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Первая надпойменная терраса имеет ширину от 0,25 до 4-6 км. Возвышается она над поймой в виде уступа высотой 3-10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Поверхность террасы ровная на отдельных участках заболоченная с абсолютными отметками 80-120 м осложнена карстовыми воронками. Здесь также имеются узкие озера-старицы.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Пойма и первая надпойменная террасы затапливаются паводками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 1 % обеспеченности.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Вторая надпойменная терраса имеет прерывистое распространение. Переход ее от первой надпойменной постепенный.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Поверхность ее с абсолютными отметками 120-150 м ровная, осложнена карстовыми формами рельефа.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тех участках, где террасы отсутствуют, водораздельная равнина обрывистая крутыми (20 % и более), высокими (20-60 м) береговыми склонами, поверхность которых прорезают короткие (до 1 км) овраги глубиной 3-5 м, промоины, а на отдельных участках встречаются оползни, осыпи.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условиям рельефа территория района благоприятна для освоения.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геологическом строении района принимают участие коренные породы пермского, неогенового возраста и четвертичные отложения, перекрывающие их слоем мощностью от 2-5 до 20-30 м.</w:t>
            </w:r>
          </w:p>
          <w:p w:rsidR="00AE1E3D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Краткая литолого-стратиграфическая характеристика пород приведена в таблице:</w:t>
            </w:r>
          </w:p>
          <w:p w:rsidR="00AE1E3D" w:rsidRPr="002042F3" w:rsidRDefault="00AE1E3D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1E3D" w:rsidRDefault="00AE1E3D" w:rsidP="00BF4B28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38" style="position:absolute;margin-left:-1.1pt;margin-top:4.7pt;width:12.45pt;height:1in;z-index:251652608;mso-position-horizontal-relative:text;mso-position-vertical-relative:text" o:allowincell="f" filled="f" strokecolor="white" strokeweight="1pt">
                  <v:textbox style="layout-flow:vertical;mso-layout-flow-alt:bottom-to-top;mso-next-textbox:#_x0000_s1038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9" style="position:absolute;left:0;text-align:left;margin-left:-.5pt;margin-top:14.5pt;width:12.45pt;height:1in;z-index:251650560;mso-position-horizontal-relative:text;mso-position-vertical-relative:text" o:allowincell="f" filled="f" strokecolor="white" strokeweight="1pt">
                  <v:textbox style="layout-flow:vertical;mso-layout-flow-alt:bottom-to-top;mso-next-textbox:#_x0000_s1039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0" style="position:absolute;left:0;text-align:left;margin-left:-1.1pt;margin-top:4.3pt;width:12.45pt;height:64.8pt;z-index:251651584;mso-position-horizontal-relative:text;mso-position-vertical-relative:text" o:allowincell="f" filled="f" strokecolor="white" strokeweight="1pt">
                  <v:textbox style="layout-flow:vertical;mso-layout-flow-alt:bottom-to-top;mso-next-textbox:#_x0000_s1040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1" style="position:absolute;left:0;text-align:left;z-index:25165363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35.35pt;margin-top:4.3pt;width:7in;height:733.45pt;z-index:251658752" o:allowincell="f" filled="f" stroked="f">
                  <v:textbox style="mso-next-textbox:#_x0000_s1042">
                    <w:txbxContent>
                      <w:tbl>
                        <w:tblPr>
                          <w:tblW w:w="10061" w:type="dxa"/>
                          <w:jc w:val="center"/>
                          <w:tblBorders>
                            <w:top w:val="single" w:sz="4" w:space="0" w:color="auto"/>
                          </w:tblBorders>
                          <w:tblLook w:val="0000"/>
                        </w:tblPr>
                        <w:tblGrid>
                          <w:gridCol w:w="2076"/>
                          <w:gridCol w:w="3442"/>
                          <w:gridCol w:w="1375"/>
                          <w:gridCol w:w="1369"/>
                          <w:gridCol w:w="1799"/>
                        </w:tblGrid>
                        <w:tr w:rsidR="00AE1E3D">
                          <w:trPr>
                            <w:trHeight w:val="117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Стратиграфический горизонт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Литологический состав пород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Глубина залегания,м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Мощность,м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Область распространения</w:t>
                              </w:r>
                            </w:p>
                          </w:tc>
                        </w:tr>
                        <w:tr w:rsidR="00AE1E3D">
                          <w:trPr>
                            <w:trHeight w:val="93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c>
                        </w:tr>
                        <w:tr w:rsidR="00AE1E3D">
                          <w:trPr>
                            <w:trHeight w:val="117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24518">
                                <w:rPr>
                                  <w:rFonts w:ascii="Arial" w:hAnsi="Arial" w:cs="Arial"/>
                                  <w:u w:val="single"/>
                                </w:rPr>
                                <w:t>Нижняя пермь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24518">
                                <w:rPr>
                                  <w:rFonts w:ascii="Arial" w:hAnsi="Arial" w:cs="Arial"/>
                                </w:rPr>
                                <w:t>Сакмарский артинский ярус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Кугрурский ярус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Филипповская свита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Иреньская свита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Уфимский ярус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Соликамская свита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Шешминская свита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Неоген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Четвертичные отложения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Аллювиальные 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Эллювиально-делювиальные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Pr="00324518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Болотные 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Известняки,доломиты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Доломитизированные известняки, доломиты с прослоями ангидритов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Гипсы, ангидриты с прослоями каменной соли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Переслаивающиеся аргиллиты, алевролиты, песчаники,известняки, мергели,доломиты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Переслаивающиеся глины,алевролиты,песчаники,реже известняки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Глины,суглинки с включением песка,гравия,гальки и гравийно-галечных образований.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Верхняя часть разреза-суглинки,супеси с прослоями песка, нижняя часть разреза-пески с гравийно-галечными образованиями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Суглинки,глины песчаные с содержанием дресвы и щебня коренных пород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Торф 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200-400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150-200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2-50до 15-100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От 2-15 до 50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От 2-5 до 8-15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 поверхности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 поверхности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Несколько сот метров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150-170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19-100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5-20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0-50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20-30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3-10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(в долинах мелких рек)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2-5 до 8-15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0,5-2 и более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Повсеместно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Обнажаются в береговых склонах р.Белой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На водоразделах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Ограничено в левобережьи р.Белой и в долинах рек подстилая аллювий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 долине р.Белой и ее притоков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На водоразделах и склонах</w:t>
                              </w: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E1E3D" w:rsidRDefault="00AE1E3D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 долине р.Белой</w:t>
                              </w:r>
                            </w:p>
                          </w:tc>
                        </w:tr>
                      </w:tbl>
                      <w:p w:rsidR="00AE1E3D" w:rsidRPr="00F1369B" w:rsidRDefault="00AE1E3D" w:rsidP="00F1369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left:0;text-align:left;margin-left:519.6pt;margin-top:.5pt;width:21.6pt;height:28.8pt;z-index:251660800" o:allowincell="f" filled="f" stroked="f">
                  <v:textbox style="mso-next-textbox:#_x0000_s1043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44" style="position:absolute;margin-left:-1.1pt;margin-top:4.7pt;width:12.45pt;height:1in;z-index:251657728;mso-position-horizontal-relative:text;mso-position-vertical-relative:text" o:allowincell="f" filled="f" strokecolor="white" strokeweight="1pt">
                  <v:textbox style="layout-flow:vertical;mso-layout-flow-alt:bottom-to-top;mso-next-textbox:#_x0000_s1044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5" style="position:absolute;left:0;text-align:left;margin-left:-.5pt;margin-top:14.5pt;width:12.45pt;height:1in;z-index:251655680;mso-position-horizontal-relative:text;mso-position-vertical-relative:text" o:allowincell="f" filled="f" strokecolor="white" strokeweight="1pt">
                  <v:textbox style="layout-flow:vertical;mso-layout-flow-alt:bottom-to-top;mso-next-textbox:#_x0000_s1045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6" style="position:absolute;left:0;text-align:left;margin-left:-1.1pt;margin-top:4.3pt;width:12.45pt;height:64.8pt;z-index:251656704;mso-position-horizontal-relative:text;mso-position-vertical-relative:text" o:allowincell="f" filled="f" strokecolor="white" strokeweight="1pt">
                  <v:textbox style="layout-flow:vertical;mso-layout-flow-alt:bottom-to-top;mso-next-textbox:#_x0000_s1046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7" style="position:absolute;left:0;text-align:left;z-index:25165977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48" type="#_x0000_t202" style="position:absolute;left:0;text-align:left;margin-left:519.6pt;margin-top:.5pt;width:21.6pt;height:28.8pt;z-index:251665920" o:allowincell="f" filled="f" stroked="f">
                  <v:textbox style="mso-next-textbox:#_x0000_s1048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E1E3D" w:rsidRPr="00455826" w:rsidRDefault="00AE1E3D" w:rsidP="00771032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826">
              <w:rPr>
                <w:rFonts w:ascii="Arial" w:hAnsi="Arial" w:cs="Arial"/>
                <w:b/>
                <w:bCs/>
                <w:sz w:val="24"/>
                <w:szCs w:val="24"/>
              </w:rPr>
              <w:t>Физико-геологические процессы</w:t>
            </w:r>
          </w:p>
          <w:p w:rsidR="00AE1E3D" w:rsidRPr="00EB3F87" w:rsidRDefault="00AE1E3D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 xml:space="preserve">Из физико-геологических явлений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EB3F87">
              <w:rPr>
                <w:rFonts w:ascii="Arial" w:hAnsi="Arial" w:cs="Arial"/>
                <w:sz w:val="24"/>
                <w:szCs w:val="24"/>
              </w:rPr>
              <w:t xml:space="preserve"> имеют место: карстовые и эрозионные процессы, а также заболачивание.</w:t>
            </w:r>
          </w:p>
          <w:p w:rsidR="00AE1E3D" w:rsidRPr="00EB3F87" w:rsidRDefault="00AE1E3D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>Карстовые процессы пользуются широким распространением карстующимися породами являются гипсы и антидриты кунгурского яруса и в меньшей степени известняки уфимского яруса.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Карстовый процесс развивается и проявляется на поверхности в местах, где мощность водопроницаемого покрова до 80 м, а водоупорного покрова до 50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Карстопроявления конце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3F87">
              <w:rPr>
                <w:rFonts w:ascii="Arial" w:hAnsi="Arial" w:cs="Arial"/>
                <w:sz w:val="24"/>
                <w:szCs w:val="24"/>
              </w:rPr>
              <w:t>трируются, в основном, вдоль склонов долин рек, а также оврагов и балок.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Особенно сильно карст развит в низовьях р.Бирь.</w:t>
            </w:r>
          </w:p>
          <w:p w:rsidR="00AE1E3D" w:rsidRDefault="00AE1E3D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 xml:space="preserve">Поверхностные формы карстопроявлений представлены главным образом воронками, часто провального генезиса. Диаметр их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B3F87">
              <w:rPr>
                <w:rFonts w:ascii="Arial" w:hAnsi="Arial" w:cs="Arial"/>
                <w:sz w:val="24"/>
                <w:szCs w:val="24"/>
              </w:rPr>
              <w:t>–150 м, а глубина 1-5 м и более.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603">
              <w:rPr>
                <w:rFonts w:ascii="Arial" w:hAnsi="Arial" w:cs="Arial"/>
                <w:b/>
                <w:bCs/>
                <w:sz w:val="24"/>
                <w:szCs w:val="24"/>
              </w:rPr>
              <w:t>Овраги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пределах республики широко развиты, преимущественно на равнинной территории, где с поверхности залегают четвертичные, неогеновые и уфимские породы, относительно легко поддающиеся размыву.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Овраги приурочены к склонам долин или положительным формам рельефа. Рост оврагов в длину происходит за счет регрессивной эрозии. Ежегодный прирост многих оврагов составляет 5-10 м.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площадь земель, сельхозугодий подвержены ветровой и водной эрозии.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Вместе с увеличением площади эродированных земель и сокращением их гумусового горизонта происходят изменения физического и химического состава эродированных почв.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449">
              <w:rPr>
                <w:rFonts w:ascii="Arial" w:hAnsi="Arial" w:cs="Arial"/>
                <w:b/>
                <w:bCs/>
                <w:sz w:val="24"/>
                <w:szCs w:val="24"/>
              </w:rPr>
              <w:t>Боковая (речная) эрозия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наиболее интенсивно проявляется в долинах рек Прибельской равнины, в меньшей степени на Бугульмино-Белебеевской возвышенности.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Наблюдается прямая зависимость развития боковой эрозии от положения рек по отношению к общему базису эрозии (Каспийское море), т.е. чем меньше врезано русло по отношению к базису эрозии, тем более интенсивно в нем проявляется глубинная эрозия, а, следовательно, мене развита боковая.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4C">
              <w:rPr>
                <w:rFonts w:ascii="Arial" w:hAnsi="Arial" w:cs="Arial"/>
                <w:b/>
                <w:bCs/>
                <w:sz w:val="24"/>
                <w:szCs w:val="24"/>
              </w:rPr>
              <w:t>Оползни</w:t>
            </w:r>
            <w:r>
              <w:rPr>
                <w:rFonts w:ascii="Arial" w:hAnsi="Arial" w:cs="Arial"/>
                <w:sz w:val="24"/>
                <w:szCs w:val="24"/>
              </w:rPr>
              <w:t>, как и обвалы, и осыпи, встречаются сравнительно редко. Оползни можно разделить на древние (стабилизировавшиеся), образовавшиеся при раннем положении базиса эрозии и современные (активные и приостановившиеся), образование которых связано с современным врезом эрозионной сети.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Современные оползни более многочисленны, чем древние, однако, площадные коэффициенты пораженности ими в 5-10 раз ниже. Современные оползни по классификации В.В.Крюнцеля представлены оползнями сдвига и оползнями-потоками. Оползням подвержены </w:t>
            </w:r>
            <w:r w:rsidRPr="0024372E">
              <w:rPr>
                <w:rFonts w:ascii="Arial" w:hAnsi="Arial" w:cs="Arial"/>
                <w:sz w:val="24"/>
                <w:szCs w:val="24"/>
              </w:rPr>
              <w:t xml:space="preserve">аллювиальные и элювиально-демовиальные </w:t>
            </w:r>
            <w:r w:rsidRPr="00653762">
              <w:rPr>
                <w:rFonts w:ascii="Arial" w:hAnsi="Arial" w:cs="Arial"/>
                <w:sz w:val="24"/>
                <w:szCs w:val="24"/>
              </w:rPr>
              <w:t>суглинки.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Оползни развиваются везде, где угол откоса более 40</w:t>
            </w:r>
            <w:r w:rsidRPr="006F55E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,а высота его более 6-9 м. Размеры их чаще всего составляют 10-40 м, величина смещения не превышает 5-7 м.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Оползни-потоки наиболее распространены на Прибельской холмисто-увалистой равнине. Представлены они оползневыми смещениями элювиально-демовиальных отложений малой толщины по коренным породам в виде </w:t>
            </w:r>
            <w:r w:rsidRPr="00653762">
              <w:rPr>
                <w:rFonts w:ascii="Arial" w:hAnsi="Arial" w:cs="Arial"/>
                <w:sz w:val="24"/>
                <w:szCs w:val="24"/>
              </w:rPr>
              <w:t>оплывин,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обусловленных разжижением пород в период их весенне-осеннего  увлажнения.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типы оползней, как древние, так и современные, по площади занимают незначительные территории и непосредственной угрозы не представляют. Однако, современные оползни способствуют разрушению надпойменных террас, их подмыва, развитию оврагов.</w:t>
            </w:r>
          </w:p>
          <w:p w:rsidR="00AE1E3D" w:rsidRDefault="00AE1E3D" w:rsidP="00771032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49" style="position:absolute;margin-left:-1.1pt;margin-top:4.7pt;width:12.45pt;height:1in;z-index:251663872;mso-position-horizontal-relative:text;mso-position-vertical-relative:text" o:allowincell="f" filled="f" strokecolor="white" strokeweight="1pt">
                  <v:textbox style="layout-flow:vertical;mso-layout-flow-alt:bottom-to-top;mso-next-textbox:#_x0000_s1049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0" style="position:absolute;left:0;text-align:left;margin-left:-.5pt;margin-top:14.5pt;width:12.45pt;height:1in;z-index:251661824;mso-position-horizontal-relative:text;mso-position-vertical-relative:text" o:allowincell="f" filled="f" strokecolor="white" strokeweight="1pt">
                  <v:textbox style="layout-flow:vertical;mso-layout-flow-alt:bottom-to-top;mso-next-textbox:#_x0000_s1050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1" style="position:absolute;left:0;text-align:left;margin-left:-1.1pt;margin-top:4.3pt;width:12.45pt;height:64.8pt;z-index:251662848;mso-position-horizontal-relative:text;mso-position-vertical-relative:text" o:allowincell="f" filled="f" strokecolor="white" strokeweight="1pt">
                  <v:textbox style="layout-flow:vertical;mso-layout-flow-alt:bottom-to-top;mso-next-textbox:#_x0000_s1051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52" style="position:absolute;left:0;text-align:left;z-index:25166489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519.6pt;margin-top:.5pt;width:21.6pt;height:28.8pt;z-index:251671040" o:allowincell="f" filled="f" stroked="f">
                  <v:textbox style="mso-next-textbox:#_x0000_s1053">
                    <w:txbxContent>
                      <w:p w:rsidR="00AE1E3D" w:rsidRDefault="00AE1E3D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9EF">
              <w:rPr>
                <w:rFonts w:ascii="Arial" w:hAnsi="Arial" w:cs="Arial"/>
                <w:b/>
                <w:bCs/>
                <w:sz w:val="24"/>
                <w:szCs w:val="24"/>
              </w:rPr>
              <w:t>Заболачивание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имеет широкого распространения. Большинство из них приурочены к днищам долин р.Белой и ее крупных притоков, к понижениям на первых надпойменных террасах, которые в период половодья заливаются поверхностными водами. Другим источником пополнения болот влагой являются атмосферные осадки. Болота имеют небольшие размеры. Встречаются все типы болот. Степень разложения и зольность болот колеблется в зависимости от типа болот.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неблагоприятные для освоения. К данной категории относятся: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-участки с очень сильной интенсивностью проявления(величина показателей коэффициентов в пределах более 0,5), которые приурочены к левобережью р.Белой в районе г.Бирска;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-затопление при наивысшем уровне воды 1% обеспеченно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-поймы мелких водотоков;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-овраги.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подлежат застройке площади залегания полезных ископаемых.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Гидрогеологические условия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Гидрогеологические условия республики достаточно сложные и разнообразные, что обусловлено ее расположением на стыке различных структурно-тектонических зон – Русской платформы и уральской складчатой системы, а также изменчивостью </w:t>
            </w:r>
            <w:r w:rsidRPr="00F6438D">
              <w:rPr>
                <w:rFonts w:ascii="Arial" w:hAnsi="Arial" w:cs="Arial"/>
                <w:sz w:val="24"/>
                <w:szCs w:val="24"/>
              </w:rPr>
              <w:t>литологического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состава пород, как по площади, так и по разрезу.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 проектирования находится в пределах Волго-Камского бассейна.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Подземные воды содержатся почти во всех стратиграфических горизонтах от протерозойского до четвертичного возраста. В пределах артезианских бассейнов, основными являются водоносные горизонты в четвертичных (аллювиальных) и пермских (карбонатных и </w:t>
            </w:r>
            <w:r w:rsidRPr="00F6438D">
              <w:rPr>
                <w:rFonts w:ascii="Arial" w:hAnsi="Arial" w:cs="Arial"/>
                <w:sz w:val="24"/>
                <w:szCs w:val="24"/>
              </w:rPr>
              <w:t>терригенных-</w:t>
            </w:r>
            <w:r>
              <w:rPr>
                <w:rFonts w:ascii="Arial" w:hAnsi="Arial" w:cs="Arial"/>
                <w:sz w:val="24"/>
                <w:szCs w:val="24"/>
              </w:rPr>
              <w:t>карбонатных) образованиях.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гидрогеологическом отношении рассматриваемая территория относится к Волго-Камскому артезианскому бассейну, представляющему сложную систему водоносных горизонтов, отличающихся разнообразием гидрогеологических условий, химического состава и минерализации.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достаточно выдержанных водоупоров обуславливает гидравлическую связь различных водоносных горизонтов.</w:t>
            </w:r>
          </w:p>
          <w:p w:rsidR="00AE1E3D" w:rsidRDefault="00AE1E3D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воды приурочены к четвертичным образованиям и коренным породам.По характеру циркуляции подземные воды подразделяются на порово-пластовые, трещинные и трещинно-карстовые.</w:t>
            </w:r>
          </w:p>
          <w:p w:rsidR="00AE1E3D" w:rsidRPr="00CD4C7F" w:rsidRDefault="00AE1E3D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настоящее время подземные воды используются как для хозяйственно-питьевого водоснабжения, так и производственно-технических целей.</w:t>
            </w:r>
          </w:p>
          <w:p w:rsidR="00AE1E3D" w:rsidRDefault="00AE1E3D" w:rsidP="00771032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E539B5">
              <w:rPr>
                <w:rFonts w:ascii="Arial" w:hAnsi="Arial" w:cs="Arial"/>
                <w:sz w:val="24"/>
                <w:szCs w:val="24"/>
              </w:rPr>
              <w:t>Водоснабжение сельских населенных пунктов обеспечивается за счет подземных вод. Водоотбор осуществляется скважинами, шахтными колодцами, родниками</w:t>
            </w:r>
          </w:p>
          <w:p w:rsidR="00AE1E3D" w:rsidRDefault="00AE1E3D" w:rsidP="00771032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485320"/>
        </w:tc>
        <w:tc>
          <w:tcPr>
            <w:tcW w:w="369" w:type="dxa"/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>
            <w:r>
              <w:rPr>
                <w:noProof/>
              </w:rPr>
              <w:pict>
                <v:rect id="_x0000_s1054" style="position:absolute;margin-left:-1.1pt;margin-top:4.7pt;width:12.45pt;height:1in;z-index:251668992;mso-position-horizontal-relative:text;mso-position-vertical-relative:text" o:allowincell="f" filled="f" strokecolor="white" strokeweight="1pt">
                  <v:textbox style="layout-flow:vertical;mso-layout-flow-alt:bottom-to-top;mso-next-textbox:#_x0000_s1054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5" style="position:absolute;left:0;text-align:left;margin-left:-.5pt;margin-top:14.5pt;width:12.45pt;height:1in;z-index:251666944;mso-position-horizontal-relative:text;mso-position-vertical-relative:text" o:allowincell="f" filled="f" strokecolor="white" strokeweight="1pt">
                  <v:textbox style="layout-flow:vertical;mso-layout-flow-alt:bottom-to-top;mso-next-textbox:#_x0000_s1055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6" style="position:absolute;left:0;text-align:left;margin-left:-1.1pt;margin-top:4.3pt;width:12.45pt;height:64.8pt;z-index:251667968;mso-position-horizontal-relative:text;mso-position-vertical-relative:text" o:allowincell="f" filled="f" strokecolor="white" strokeweight="1pt">
                  <v:textbox style="layout-flow:vertical;mso-layout-flow-alt:bottom-to-top;mso-next-textbox:#_x0000_s1056" inset="1pt,1pt,1pt,1pt">
                    <w:txbxContent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57" style="position:absolute;left:0;text-align:left;z-index:25167001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E1E3D" w:rsidRDefault="00AE1E3D" w:rsidP="0048532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tbl>
      <w:tblPr>
        <w:tblW w:w="1120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AE1E3D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5543E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8" type="#_x0000_t202" style="position:absolute;left:0;text-align:left;margin-left:519.6pt;margin-top:.5pt;width:21.6pt;height:28.8pt;z-index:251676160" o:allowincell="f" filled="f" stroked="f">
                  <v:textbox style="mso-next-textbox:#_x0000_s1058">
                    <w:txbxContent>
                      <w:p w:rsidR="00AE1E3D" w:rsidRDefault="00AE1E3D" w:rsidP="005543E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AE1E3D" w:rsidRDefault="00AE1E3D" w:rsidP="005543E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AE1E3D" w:rsidRDefault="00AE1E3D" w:rsidP="005543E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5E4228">
            <w:pPr>
              <w:pStyle w:val="NoSpacing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E1E3D" w:rsidRDefault="00AE1E3D" w:rsidP="005E4228">
            <w:pPr>
              <w:pStyle w:val="NoSpacing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Системы расселения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AE1E3D" w:rsidRPr="004D50D4" w:rsidRDefault="00AE1E3D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 xml:space="preserve">В сельской системе расселения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 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сохраняется в </w:t>
            </w:r>
            <w:r>
              <w:rPr>
                <w:rFonts w:ascii="Arial" w:hAnsi="Arial" w:cs="Arial"/>
                <w:sz w:val="24"/>
                <w:szCs w:val="24"/>
              </w:rPr>
              <w:t>центре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с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715019">
              <w:rPr>
                <w:rFonts w:ascii="Arial" w:hAnsi="Arial" w:cs="Arial"/>
                <w:sz w:val="24"/>
                <w:szCs w:val="24"/>
              </w:rPr>
              <w:t xml:space="preserve">в с. </w:t>
            </w:r>
            <w:r>
              <w:rPr>
                <w:rFonts w:ascii="Arial" w:hAnsi="Arial" w:cs="Arial"/>
                <w:sz w:val="24"/>
                <w:szCs w:val="24"/>
              </w:rPr>
              <w:t>Силантьево</w:t>
            </w:r>
          </w:p>
          <w:p w:rsidR="00AE1E3D" w:rsidRPr="004D50D4" w:rsidRDefault="00AE1E3D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>Совершенствование и развитие районной системы расселения предусматривается путем дальнейшего формирования опорной сети поселений, повышения уровня урбанизации, улучшения среды обитания за счет:</w:t>
            </w:r>
          </w:p>
          <w:p w:rsidR="00AE1E3D" w:rsidRPr="004D50D4" w:rsidRDefault="00AE1E3D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>- укрепления и усиления ядра системы расселения –</w:t>
            </w:r>
            <w:r>
              <w:rPr>
                <w:rFonts w:ascii="Arial" w:hAnsi="Arial" w:cs="Arial"/>
                <w:sz w:val="24"/>
                <w:szCs w:val="24"/>
              </w:rPr>
              <w:t>с. Силантьево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развивающегося многофункционального центра системы расселения </w:t>
            </w:r>
          </w:p>
          <w:p w:rsidR="00AE1E3D" w:rsidRDefault="00AE1E3D" w:rsidP="00EB7B42">
            <w:pPr>
              <w:ind w:firstLine="567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5"/>
              <w:gridCol w:w="2594"/>
              <w:gridCol w:w="1350"/>
              <w:gridCol w:w="1739"/>
              <w:gridCol w:w="2533"/>
            </w:tblGrid>
            <w:tr w:rsidR="00AE1E3D" w:rsidRPr="00103C19">
              <w:trPr>
                <w:trHeight w:val="134"/>
                <w:jc w:val="center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№</w:t>
                  </w:r>
                </w:p>
                <w:p w:rsidR="00AE1E3D" w:rsidRPr="001C17F1" w:rsidRDefault="00AE1E3D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п/п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Наименование с/с и населенных пунктов</w:t>
                  </w:r>
                </w:p>
              </w:tc>
              <w:tc>
                <w:tcPr>
                  <w:tcW w:w="56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Население, чел.</w:t>
                  </w:r>
                </w:p>
              </w:tc>
            </w:tr>
            <w:tr w:rsidR="00AE1E3D" w:rsidRPr="00103C19">
              <w:trPr>
                <w:trHeight w:val="375"/>
                <w:jc w:val="center"/>
              </w:trPr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 текущий период</w:t>
                  </w:r>
                </w:p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(2010г.)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1 оч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1C17F1" w:rsidRDefault="00AE1E3D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AE1E3D" w:rsidRPr="00705A24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Силантьевский с/с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1,05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1,1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1,17</w:t>
                  </w:r>
                </w:p>
              </w:tc>
            </w:tr>
            <w:tr w:rsidR="00AE1E3D" w:rsidRPr="00705A24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С.Камышкина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0,13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0,13</w:t>
                  </w:r>
                </w:p>
              </w:tc>
            </w:tr>
            <w:tr w:rsidR="00AE1E3D" w:rsidRPr="00705A24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С.Костарево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0,22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0,23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0,25</w:t>
                  </w:r>
                </w:p>
              </w:tc>
            </w:tr>
            <w:tr w:rsidR="00AE1E3D" w:rsidRPr="00705A24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Д.Мордовиновка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0,03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0,03</w:t>
                  </w:r>
                </w:p>
              </w:tc>
            </w:tr>
            <w:tr w:rsidR="00AE1E3D" w:rsidRPr="00705A24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С.Силантьево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0,68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0,71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0,76</w:t>
                  </w:r>
                </w:p>
              </w:tc>
            </w:tr>
          </w:tbl>
          <w:p w:rsidR="00AE1E3D" w:rsidRDefault="00AE1E3D" w:rsidP="00715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:rsidR="00AE1E3D" w:rsidRPr="00715019" w:rsidRDefault="00AE1E3D" w:rsidP="00715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1.3.2.Динамика населения по населенным пунктам </w:t>
            </w:r>
          </w:p>
          <w:p w:rsidR="00AE1E3D" w:rsidRPr="00715019" w:rsidRDefault="00AE1E3D" w:rsidP="00715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0069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1227"/>
              <w:gridCol w:w="60"/>
              <w:gridCol w:w="3472"/>
              <w:gridCol w:w="60"/>
              <w:gridCol w:w="1590"/>
              <w:gridCol w:w="60"/>
              <w:gridCol w:w="1674"/>
              <w:gridCol w:w="60"/>
              <w:gridCol w:w="1806"/>
              <w:gridCol w:w="60"/>
            </w:tblGrid>
            <w:tr w:rsidR="00AE1E3D" w:rsidRPr="00715019">
              <w:trPr>
                <w:trHeight w:val="119"/>
              </w:trPr>
              <w:tc>
                <w:tcPr>
                  <w:tcW w:w="12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Номер ЭКСП систем и сельских поселений</w:t>
                  </w:r>
                </w:p>
              </w:tc>
              <w:tc>
                <w:tcPr>
                  <w:tcW w:w="35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2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Население, т.чел.</w:t>
                  </w:r>
                </w:p>
              </w:tc>
            </w:tr>
            <w:tr w:rsidR="00AE1E3D" w:rsidRPr="00715019">
              <w:trPr>
                <w:trHeight w:val="195"/>
              </w:trPr>
              <w:tc>
                <w:tcPr>
                  <w:tcW w:w="128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сущ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1 оч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AE1E3D" w:rsidRPr="00715019">
              <w:trPr>
                <w:trHeight w:val="240"/>
              </w:trPr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AE1E3D" w:rsidRPr="00715019">
              <w:tblPrEx>
                <w:jc w:val="center"/>
              </w:tblPrEx>
              <w:trPr>
                <w:gridAfter w:val="1"/>
                <w:wAfter w:w="60" w:type="dxa"/>
                <w:trHeight w:val="285"/>
                <w:jc w:val="center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15019">
                    <w:rPr>
                      <w:rFonts w:ascii="Arial" w:hAnsi="Arial" w:cs="Arial"/>
                      <w:b/>
                      <w:bCs/>
                    </w:rPr>
                    <w:t>СП Силантьевский с/с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1,05</w:t>
                  </w:r>
                </w:p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1050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1,10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1,17</w:t>
                  </w:r>
                </w:p>
              </w:tc>
            </w:tr>
            <w:tr w:rsidR="00AE1E3D" w:rsidRPr="00715019">
              <w:tblPrEx>
                <w:jc w:val="center"/>
              </w:tblPrEx>
              <w:trPr>
                <w:gridAfter w:val="1"/>
                <w:wAfter w:w="60" w:type="dxa"/>
                <w:trHeight w:val="285"/>
                <w:jc w:val="center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С.Силантьево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681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0,71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0,76</w:t>
                  </w:r>
                </w:p>
              </w:tc>
            </w:tr>
            <w:tr w:rsidR="00AE1E3D" w:rsidRPr="00715019">
              <w:tblPrEx>
                <w:jc w:val="center"/>
              </w:tblPrEx>
              <w:trPr>
                <w:gridAfter w:val="1"/>
                <w:wAfter w:w="60" w:type="dxa"/>
                <w:trHeight w:val="285"/>
                <w:jc w:val="center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С.Камышкина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124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0,13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0,13</w:t>
                  </w:r>
                </w:p>
              </w:tc>
            </w:tr>
            <w:tr w:rsidR="00AE1E3D" w:rsidRPr="00715019">
              <w:tblPrEx>
                <w:jc w:val="center"/>
              </w:tblPrEx>
              <w:trPr>
                <w:gridAfter w:val="1"/>
                <w:wAfter w:w="60" w:type="dxa"/>
                <w:trHeight w:val="285"/>
                <w:jc w:val="center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С.Костарево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217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0,23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0,25</w:t>
                  </w:r>
                </w:p>
              </w:tc>
            </w:tr>
            <w:tr w:rsidR="00AE1E3D" w:rsidRPr="00715019">
              <w:tblPrEx>
                <w:jc w:val="center"/>
              </w:tblPrEx>
              <w:trPr>
                <w:gridAfter w:val="1"/>
                <w:wAfter w:w="60" w:type="dxa"/>
                <w:trHeight w:val="285"/>
                <w:jc w:val="center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Д.Мордовиновка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0,03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15019" w:rsidRDefault="00AE1E3D" w:rsidP="00B960B7">
                  <w:pPr>
                    <w:rPr>
                      <w:rFonts w:ascii="Arial" w:hAnsi="Arial" w:cs="Arial"/>
                    </w:rPr>
                  </w:pPr>
                  <w:r w:rsidRPr="00715019">
                    <w:rPr>
                      <w:rFonts w:ascii="Arial" w:hAnsi="Arial" w:cs="Arial"/>
                    </w:rPr>
                    <w:t>0,03</w:t>
                  </w:r>
                </w:p>
              </w:tc>
            </w:tr>
          </w:tbl>
          <w:p w:rsidR="00AE1E3D" w:rsidRPr="007F2B6B" w:rsidRDefault="00AE1E3D" w:rsidP="007F2B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B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1.3.3.Динамика населения </w:t>
            </w:r>
          </w:p>
          <w:p w:rsidR="00AE1E3D" w:rsidRPr="007F2B6B" w:rsidRDefault="00AE1E3D" w:rsidP="007F2B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990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38"/>
              <w:gridCol w:w="3741"/>
              <w:gridCol w:w="1292"/>
              <w:gridCol w:w="1909"/>
              <w:gridCol w:w="2110"/>
            </w:tblGrid>
            <w:tr w:rsidR="00AE1E3D" w:rsidRPr="007F2B6B">
              <w:trPr>
                <w:trHeight w:val="172"/>
              </w:trPr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№</w:t>
                  </w:r>
                </w:p>
              </w:tc>
              <w:tc>
                <w:tcPr>
                  <w:tcW w:w="3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Наименование сельских поселений</w:t>
                  </w:r>
                </w:p>
              </w:tc>
              <w:tc>
                <w:tcPr>
                  <w:tcW w:w="5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Население,т.чел.</w:t>
                  </w:r>
                </w:p>
              </w:tc>
            </w:tr>
            <w:tr w:rsidR="00AE1E3D" w:rsidRPr="007F2B6B">
              <w:trPr>
                <w:trHeight w:val="271"/>
              </w:trPr>
              <w:tc>
                <w:tcPr>
                  <w:tcW w:w="9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7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Сущ.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1 оч.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B6B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AE1E3D" w:rsidRPr="007F2B6B">
              <w:trPr>
                <w:trHeight w:val="286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Силантьевский с/с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1,05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1,10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1,17</w:t>
                  </w:r>
                </w:p>
              </w:tc>
            </w:tr>
          </w:tbl>
          <w:p w:rsidR="00AE1E3D" w:rsidRPr="007F2B6B" w:rsidRDefault="00AE1E3D" w:rsidP="007F2B6B">
            <w:pPr>
              <w:shd w:val="clear" w:color="auto" w:fill="FFFFFF"/>
              <w:ind w:left="226" w:firstLine="115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7F2B6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1.3.4.Динамика населения в сельском поселении </w:t>
            </w:r>
          </w:p>
          <w:p w:rsidR="00AE1E3D" w:rsidRPr="007F2B6B" w:rsidRDefault="00AE1E3D" w:rsidP="007F2B6B">
            <w:pPr>
              <w:ind w:firstLine="567"/>
              <w:jc w:val="center"/>
              <w:rPr>
                <w:rFonts w:ascii="Arial" w:hAnsi="Arial" w:cs="Arial"/>
              </w:rPr>
            </w:pPr>
            <w:r w:rsidRPr="007F2B6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Прогноз численности населения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2187"/>
              <w:gridCol w:w="3182"/>
              <w:gridCol w:w="860"/>
              <w:gridCol w:w="1086"/>
              <w:gridCol w:w="1764"/>
            </w:tblGrid>
            <w:tr w:rsidR="00AE1E3D" w:rsidRPr="007F2B6B">
              <w:trPr>
                <w:trHeight w:val="107"/>
                <w:jc w:val="center"/>
              </w:trPr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3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Население,т.чел.</w:t>
                  </w:r>
                </w:p>
              </w:tc>
            </w:tr>
            <w:tr w:rsidR="00AE1E3D" w:rsidRPr="007F2B6B">
              <w:trPr>
                <w:trHeight w:val="107"/>
                <w:jc w:val="center"/>
              </w:trPr>
              <w:tc>
                <w:tcPr>
                  <w:tcW w:w="21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Сущ.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 оч.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РС</w:t>
                  </w:r>
                </w:p>
              </w:tc>
            </w:tr>
            <w:tr w:rsidR="00AE1E3D">
              <w:trPr>
                <w:trHeight w:val="118"/>
                <w:jc w:val="center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СП Силантьевский с/с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1,05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3D" w:rsidRPr="007F2B6B" w:rsidRDefault="00AE1E3D" w:rsidP="00B960B7">
                  <w:pPr>
                    <w:jc w:val="center"/>
                    <w:rPr>
                      <w:rFonts w:ascii="Arial" w:hAnsi="Arial" w:cs="Arial"/>
                    </w:rPr>
                  </w:pPr>
                  <w:r w:rsidRPr="007F2B6B">
                    <w:rPr>
                      <w:rFonts w:ascii="Arial" w:hAnsi="Arial" w:cs="Arial"/>
                    </w:rPr>
                    <w:t>1,17</w:t>
                  </w:r>
                </w:p>
              </w:tc>
            </w:tr>
          </w:tbl>
          <w:p w:rsidR="00AE1E3D" w:rsidRPr="00C920F5" w:rsidRDefault="00AE1E3D" w:rsidP="00715019">
            <w:pPr>
              <w:shd w:val="clear" w:color="auto" w:fill="FFFFFF"/>
              <w:spacing w:before="245" w:line="288" w:lineRule="exact"/>
              <w:ind w:left="-142" w:firstLine="426"/>
              <w:rPr>
                <w:rFonts w:ascii="Arial" w:hAnsi="Arial" w:cs="Arial"/>
                <w:sz w:val="24"/>
                <w:szCs w:val="24"/>
              </w:rPr>
            </w:pPr>
          </w:p>
          <w:p w:rsidR="00AE1E3D" w:rsidRPr="00C920F5" w:rsidRDefault="00AE1E3D" w:rsidP="005543E0">
            <w:pPr>
              <w:shd w:val="clear" w:color="auto" w:fill="FFFFFF"/>
              <w:spacing w:before="245" w:line="288" w:lineRule="exact"/>
              <w:ind w:left="-142" w:firstLine="426"/>
              <w:rPr>
                <w:rFonts w:ascii="Arial" w:hAnsi="Arial" w:cs="Arial"/>
                <w:sz w:val="24"/>
                <w:szCs w:val="24"/>
              </w:rPr>
            </w:pPr>
          </w:p>
          <w:p w:rsidR="00AE1E3D" w:rsidRDefault="00AE1E3D" w:rsidP="005543E0">
            <w:pPr>
              <w:ind w:left="142" w:right="141" w:hanging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AE1E3D" w:rsidRDefault="00AE1E3D" w:rsidP="005543E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1E3D" w:rsidRDefault="00AE1E3D" w:rsidP="005543E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5543E0"/>
        </w:tc>
        <w:tc>
          <w:tcPr>
            <w:tcW w:w="369" w:type="dxa"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319"/>
        </w:trPr>
        <w:tc>
          <w:tcPr>
            <w:tcW w:w="340" w:type="dxa"/>
          </w:tcPr>
          <w:p w:rsidR="00AE1E3D" w:rsidRDefault="00AE1E3D" w:rsidP="005543E0"/>
        </w:tc>
        <w:tc>
          <w:tcPr>
            <w:tcW w:w="369" w:type="dxa"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340" w:type="dxa"/>
          </w:tcPr>
          <w:p w:rsidR="00AE1E3D" w:rsidRDefault="00AE1E3D" w:rsidP="005543E0"/>
        </w:tc>
        <w:tc>
          <w:tcPr>
            <w:tcW w:w="369" w:type="dxa"/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5543E0">
            <w:r>
              <w:rPr>
                <w:noProof/>
              </w:rPr>
              <w:pict>
                <v:rect id="_x0000_s1059" style="position:absolute;margin-left:-1.1pt;margin-top:4.7pt;width:12.45pt;height:1in;z-index:251674112;mso-position-horizontal-relative:text;mso-position-vertical-relative:text" o:allowincell="f" filled="f" strokecolor="white" strokeweight="1pt">
                  <v:textbox style="layout-flow:vertical;mso-layout-flow-alt:bottom-to-top;mso-next-textbox:#_x0000_s1059" inset="1pt,1pt,1pt,1pt">
                    <w:txbxContent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5543E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AE1E3D" w:rsidRDefault="00AE1E3D" w:rsidP="005543E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AE1E3D" w:rsidRDefault="00AE1E3D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/>
        </w:tc>
      </w:tr>
      <w:tr w:rsidR="00AE1E3D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E1E3D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0" style="position:absolute;left:0;text-align:left;margin-left:-.5pt;margin-top:14.5pt;width:12.45pt;height:1in;z-index:251672064;mso-position-horizontal-relative:text;mso-position-vertical-relative:text" o:allowincell="f" filled="f" strokecolor="white" strokeweight="1pt">
                  <v:textbox style="layout-flow:vertical;mso-layout-flow-alt:bottom-to-top;mso-next-textbox:#_x0000_s1060" inset="1pt,1pt,1pt,1pt">
                    <w:txbxContent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1" style="position:absolute;left:0;text-align:left;margin-left:-1.1pt;margin-top:4.3pt;width:12.45pt;height:64.8pt;z-index:251673088;mso-position-horizontal-relative:text;mso-position-vertical-relative:text" o:allowincell="f" filled="f" strokecolor="white" strokeweight="1pt">
                  <v:textbox style="layout-flow:vertical;mso-layout-flow-alt:bottom-to-top;mso-next-textbox:#_x0000_s1061" inset="1pt,1pt,1pt,1pt">
                    <w:txbxContent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AE1E3D" w:rsidRDefault="00AE1E3D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  <w:p w:rsidR="00AE1E3D" w:rsidRDefault="00AE1E3D" w:rsidP="00554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AE1E3D" w:rsidRDefault="00AE1E3D" w:rsidP="005543E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AE1E3D" w:rsidRDefault="00AE1E3D" w:rsidP="005543E0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62" style="position:absolute;left:0;text-align:left;z-index:25167513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  <w:tr w:rsidR="00AE1E3D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3D" w:rsidRDefault="00AE1E3D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1E3D" w:rsidRDefault="00AE1E3D" w:rsidP="005543E0">
            <w:pPr>
              <w:jc w:val="center"/>
              <w:rPr>
                <w:b/>
                <w:bCs/>
              </w:rPr>
            </w:pPr>
          </w:p>
        </w:tc>
      </w:tr>
    </w:tbl>
    <w:p w:rsidR="00AE1E3D" w:rsidRDefault="00AE1E3D" w:rsidP="00485320"/>
    <w:sectPr w:rsidR="00AE1E3D" w:rsidSect="000065D6">
      <w:pgSz w:w="11907" w:h="16840"/>
      <w:pgMar w:top="567" w:right="352" w:bottom="24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C68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3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5">
    <w:nsid w:val="09ED70F0"/>
    <w:multiLevelType w:val="multilevel"/>
    <w:tmpl w:val="FCFE5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150B0C6D"/>
    <w:multiLevelType w:val="singleLevel"/>
    <w:tmpl w:val="421EF250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7">
    <w:nsid w:val="21BA1D2B"/>
    <w:multiLevelType w:val="multilevel"/>
    <w:tmpl w:val="74CC2B00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421C6BEF"/>
    <w:multiLevelType w:val="hybridMultilevel"/>
    <w:tmpl w:val="F7E6B9CE"/>
    <w:lvl w:ilvl="0" w:tplc="B3DA3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5896337"/>
    <w:multiLevelType w:val="singleLevel"/>
    <w:tmpl w:val="9728424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0">
    <w:nsid w:val="6CDF6B06"/>
    <w:multiLevelType w:val="multilevel"/>
    <w:tmpl w:val="13A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6"/>
  </w:num>
  <w:num w:numId="8">
    <w:abstractNumId w:val="19"/>
  </w:num>
  <w:num w:numId="9">
    <w:abstractNumId w:val="17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3"/>
  </w:num>
  <w:num w:numId="24">
    <w:abstractNumId w:val="2"/>
  </w:num>
  <w:num w:numId="25">
    <w:abstractNumId w:val="1"/>
  </w:num>
  <w:num w:numId="26">
    <w:abstractNumId w:val="15"/>
  </w:num>
  <w:num w:numId="27">
    <w:abstractNumId w:val="20"/>
  </w:num>
  <w:num w:numId="2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B2"/>
    <w:rsid w:val="000018DE"/>
    <w:rsid w:val="000065D6"/>
    <w:rsid w:val="00015E22"/>
    <w:rsid w:val="0001610E"/>
    <w:rsid w:val="0001716D"/>
    <w:rsid w:val="00017418"/>
    <w:rsid w:val="00021D51"/>
    <w:rsid w:val="00025DA1"/>
    <w:rsid w:val="0003758E"/>
    <w:rsid w:val="00050A10"/>
    <w:rsid w:val="00061844"/>
    <w:rsid w:val="00064B6C"/>
    <w:rsid w:val="00066F90"/>
    <w:rsid w:val="00067486"/>
    <w:rsid w:val="00072C81"/>
    <w:rsid w:val="0008257D"/>
    <w:rsid w:val="000832AF"/>
    <w:rsid w:val="0008359D"/>
    <w:rsid w:val="00090E61"/>
    <w:rsid w:val="00092BD1"/>
    <w:rsid w:val="00093823"/>
    <w:rsid w:val="000A3A97"/>
    <w:rsid w:val="000B05D3"/>
    <w:rsid w:val="000B3D7D"/>
    <w:rsid w:val="000C72BE"/>
    <w:rsid w:val="000D0F0F"/>
    <w:rsid w:val="000D1C3B"/>
    <w:rsid w:val="000D48FA"/>
    <w:rsid w:val="000D4966"/>
    <w:rsid w:val="000E09D6"/>
    <w:rsid w:val="000E619D"/>
    <w:rsid w:val="000F6B46"/>
    <w:rsid w:val="00102B41"/>
    <w:rsid w:val="00103C19"/>
    <w:rsid w:val="00104056"/>
    <w:rsid w:val="001115F5"/>
    <w:rsid w:val="00112064"/>
    <w:rsid w:val="00112B7B"/>
    <w:rsid w:val="001156FB"/>
    <w:rsid w:val="001431F2"/>
    <w:rsid w:val="0015410A"/>
    <w:rsid w:val="00155CCE"/>
    <w:rsid w:val="00162CBA"/>
    <w:rsid w:val="0017706E"/>
    <w:rsid w:val="00181B93"/>
    <w:rsid w:val="00193449"/>
    <w:rsid w:val="001934B1"/>
    <w:rsid w:val="0019787B"/>
    <w:rsid w:val="001A4EF4"/>
    <w:rsid w:val="001B3593"/>
    <w:rsid w:val="001B381A"/>
    <w:rsid w:val="001C17F1"/>
    <w:rsid w:val="001C2094"/>
    <w:rsid w:val="001F57CE"/>
    <w:rsid w:val="00200F66"/>
    <w:rsid w:val="002042F3"/>
    <w:rsid w:val="00206689"/>
    <w:rsid w:val="0022122E"/>
    <w:rsid w:val="0022350E"/>
    <w:rsid w:val="00232094"/>
    <w:rsid w:val="00232581"/>
    <w:rsid w:val="00234A64"/>
    <w:rsid w:val="0024102D"/>
    <w:rsid w:val="0024372E"/>
    <w:rsid w:val="00244466"/>
    <w:rsid w:val="002533E5"/>
    <w:rsid w:val="00253EF4"/>
    <w:rsid w:val="00254D7E"/>
    <w:rsid w:val="00260D99"/>
    <w:rsid w:val="0026271E"/>
    <w:rsid w:val="002829EF"/>
    <w:rsid w:val="00284D1D"/>
    <w:rsid w:val="002979F9"/>
    <w:rsid w:val="002A0465"/>
    <w:rsid w:val="002A10C7"/>
    <w:rsid w:val="002A725E"/>
    <w:rsid w:val="002C2BD2"/>
    <w:rsid w:val="002D501A"/>
    <w:rsid w:val="002D6EA5"/>
    <w:rsid w:val="002E0417"/>
    <w:rsid w:val="002E4A7C"/>
    <w:rsid w:val="002E7C1B"/>
    <w:rsid w:val="003000FA"/>
    <w:rsid w:val="00301F4B"/>
    <w:rsid w:val="003227E9"/>
    <w:rsid w:val="00323E97"/>
    <w:rsid w:val="00324518"/>
    <w:rsid w:val="00337FC3"/>
    <w:rsid w:val="00343874"/>
    <w:rsid w:val="00344A5B"/>
    <w:rsid w:val="00347777"/>
    <w:rsid w:val="00351891"/>
    <w:rsid w:val="00351E47"/>
    <w:rsid w:val="003554EC"/>
    <w:rsid w:val="00355FEB"/>
    <w:rsid w:val="00357511"/>
    <w:rsid w:val="003609C8"/>
    <w:rsid w:val="00361834"/>
    <w:rsid w:val="0037370C"/>
    <w:rsid w:val="0037391B"/>
    <w:rsid w:val="00381333"/>
    <w:rsid w:val="0039041D"/>
    <w:rsid w:val="003A3BFD"/>
    <w:rsid w:val="003C1F6A"/>
    <w:rsid w:val="003C240B"/>
    <w:rsid w:val="003C6E2D"/>
    <w:rsid w:val="003D1B1B"/>
    <w:rsid w:val="003E188F"/>
    <w:rsid w:val="003E3934"/>
    <w:rsid w:val="0040376E"/>
    <w:rsid w:val="00407F13"/>
    <w:rsid w:val="00417D0F"/>
    <w:rsid w:val="0042445C"/>
    <w:rsid w:val="00431FB7"/>
    <w:rsid w:val="00437558"/>
    <w:rsid w:val="00446DA3"/>
    <w:rsid w:val="00447282"/>
    <w:rsid w:val="004516F2"/>
    <w:rsid w:val="00455826"/>
    <w:rsid w:val="00463466"/>
    <w:rsid w:val="00476256"/>
    <w:rsid w:val="00484F35"/>
    <w:rsid w:val="00485320"/>
    <w:rsid w:val="00490649"/>
    <w:rsid w:val="004A5ACA"/>
    <w:rsid w:val="004A6827"/>
    <w:rsid w:val="004C6314"/>
    <w:rsid w:val="004D1190"/>
    <w:rsid w:val="004D3AF1"/>
    <w:rsid w:val="004D50D4"/>
    <w:rsid w:val="004D759E"/>
    <w:rsid w:val="004E2EB0"/>
    <w:rsid w:val="004E4F0B"/>
    <w:rsid w:val="004E65ED"/>
    <w:rsid w:val="004F7C33"/>
    <w:rsid w:val="00547E83"/>
    <w:rsid w:val="005543E0"/>
    <w:rsid w:val="00582D5C"/>
    <w:rsid w:val="005830AF"/>
    <w:rsid w:val="005866FB"/>
    <w:rsid w:val="005B0044"/>
    <w:rsid w:val="005B124A"/>
    <w:rsid w:val="005B2F99"/>
    <w:rsid w:val="005B5FA5"/>
    <w:rsid w:val="005C473A"/>
    <w:rsid w:val="005C60A9"/>
    <w:rsid w:val="005D3C63"/>
    <w:rsid w:val="005D42B2"/>
    <w:rsid w:val="005E4228"/>
    <w:rsid w:val="005F2612"/>
    <w:rsid w:val="005F44AC"/>
    <w:rsid w:val="005F4EC9"/>
    <w:rsid w:val="005F5F25"/>
    <w:rsid w:val="005F7785"/>
    <w:rsid w:val="00600F67"/>
    <w:rsid w:val="00612CAD"/>
    <w:rsid w:val="00613327"/>
    <w:rsid w:val="00625B7A"/>
    <w:rsid w:val="00626861"/>
    <w:rsid w:val="00640ABD"/>
    <w:rsid w:val="00653762"/>
    <w:rsid w:val="00675103"/>
    <w:rsid w:val="006771A1"/>
    <w:rsid w:val="006970D9"/>
    <w:rsid w:val="006A677A"/>
    <w:rsid w:val="006A6A00"/>
    <w:rsid w:val="006C1511"/>
    <w:rsid w:val="006D6748"/>
    <w:rsid w:val="006F55E2"/>
    <w:rsid w:val="00700C1D"/>
    <w:rsid w:val="00705A24"/>
    <w:rsid w:val="00715019"/>
    <w:rsid w:val="00731330"/>
    <w:rsid w:val="00746BB6"/>
    <w:rsid w:val="007505FF"/>
    <w:rsid w:val="00755199"/>
    <w:rsid w:val="007606FD"/>
    <w:rsid w:val="00765E28"/>
    <w:rsid w:val="007672D5"/>
    <w:rsid w:val="00771032"/>
    <w:rsid w:val="00772583"/>
    <w:rsid w:val="0077304B"/>
    <w:rsid w:val="007746D9"/>
    <w:rsid w:val="00775C0D"/>
    <w:rsid w:val="007826CA"/>
    <w:rsid w:val="007855D5"/>
    <w:rsid w:val="007907F0"/>
    <w:rsid w:val="007A2E97"/>
    <w:rsid w:val="007A3D10"/>
    <w:rsid w:val="007A4960"/>
    <w:rsid w:val="007B3C42"/>
    <w:rsid w:val="007B5D46"/>
    <w:rsid w:val="007B66D0"/>
    <w:rsid w:val="007B699B"/>
    <w:rsid w:val="007B7125"/>
    <w:rsid w:val="007C6045"/>
    <w:rsid w:val="007C7DB0"/>
    <w:rsid w:val="007D6943"/>
    <w:rsid w:val="007F2B6B"/>
    <w:rsid w:val="00811E77"/>
    <w:rsid w:val="0081317B"/>
    <w:rsid w:val="00814C49"/>
    <w:rsid w:val="00830612"/>
    <w:rsid w:val="008339C8"/>
    <w:rsid w:val="00843229"/>
    <w:rsid w:val="00846ACA"/>
    <w:rsid w:val="00857681"/>
    <w:rsid w:val="008701F9"/>
    <w:rsid w:val="00872A8E"/>
    <w:rsid w:val="00882735"/>
    <w:rsid w:val="00896F76"/>
    <w:rsid w:val="008B5EA6"/>
    <w:rsid w:val="008C0684"/>
    <w:rsid w:val="008C2B03"/>
    <w:rsid w:val="008F418F"/>
    <w:rsid w:val="008F46F6"/>
    <w:rsid w:val="008F756D"/>
    <w:rsid w:val="0090373D"/>
    <w:rsid w:val="009112CC"/>
    <w:rsid w:val="00911666"/>
    <w:rsid w:val="00912D64"/>
    <w:rsid w:val="00912F37"/>
    <w:rsid w:val="00913AEE"/>
    <w:rsid w:val="009141E6"/>
    <w:rsid w:val="00920214"/>
    <w:rsid w:val="00924987"/>
    <w:rsid w:val="00925A4B"/>
    <w:rsid w:val="009301AE"/>
    <w:rsid w:val="00935A9A"/>
    <w:rsid w:val="00936BDF"/>
    <w:rsid w:val="00940390"/>
    <w:rsid w:val="00945DEB"/>
    <w:rsid w:val="00961B71"/>
    <w:rsid w:val="009644C1"/>
    <w:rsid w:val="009874A0"/>
    <w:rsid w:val="009A2511"/>
    <w:rsid w:val="009B6CB2"/>
    <w:rsid w:val="009C66CE"/>
    <w:rsid w:val="009D46F5"/>
    <w:rsid w:val="009E0EAB"/>
    <w:rsid w:val="00A05545"/>
    <w:rsid w:val="00A07A6F"/>
    <w:rsid w:val="00A11C64"/>
    <w:rsid w:val="00A170D2"/>
    <w:rsid w:val="00A36112"/>
    <w:rsid w:val="00A42CA2"/>
    <w:rsid w:val="00A4411C"/>
    <w:rsid w:val="00A45C67"/>
    <w:rsid w:val="00A62ECC"/>
    <w:rsid w:val="00A67CA4"/>
    <w:rsid w:val="00A84123"/>
    <w:rsid w:val="00A91048"/>
    <w:rsid w:val="00AB4679"/>
    <w:rsid w:val="00AC22A2"/>
    <w:rsid w:val="00AC5952"/>
    <w:rsid w:val="00AD1577"/>
    <w:rsid w:val="00AD3439"/>
    <w:rsid w:val="00AD7614"/>
    <w:rsid w:val="00AD7EB7"/>
    <w:rsid w:val="00AE1E3D"/>
    <w:rsid w:val="00AE4A39"/>
    <w:rsid w:val="00AE59A3"/>
    <w:rsid w:val="00AF1DD6"/>
    <w:rsid w:val="00AF75D1"/>
    <w:rsid w:val="00B00667"/>
    <w:rsid w:val="00B1401A"/>
    <w:rsid w:val="00B1796B"/>
    <w:rsid w:val="00B3392B"/>
    <w:rsid w:val="00B428E3"/>
    <w:rsid w:val="00B42D79"/>
    <w:rsid w:val="00B455FF"/>
    <w:rsid w:val="00B4681B"/>
    <w:rsid w:val="00B473B1"/>
    <w:rsid w:val="00B50640"/>
    <w:rsid w:val="00B52A2F"/>
    <w:rsid w:val="00B6185D"/>
    <w:rsid w:val="00B72045"/>
    <w:rsid w:val="00B84DAF"/>
    <w:rsid w:val="00B860BB"/>
    <w:rsid w:val="00B94C82"/>
    <w:rsid w:val="00B960B7"/>
    <w:rsid w:val="00BA1DE4"/>
    <w:rsid w:val="00BB2D3A"/>
    <w:rsid w:val="00BB5B75"/>
    <w:rsid w:val="00BC09E7"/>
    <w:rsid w:val="00BC4603"/>
    <w:rsid w:val="00BD3AE8"/>
    <w:rsid w:val="00BE41A3"/>
    <w:rsid w:val="00BE5ACF"/>
    <w:rsid w:val="00BF30CD"/>
    <w:rsid w:val="00BF4B28"/>
    <w:rsid w:val="00BF788A"/>
    <w:rsid w:val="00C06439"/>
    <w:rsid w:val="00C06473"/>
    <w:rsid w:val="00C10456"/>
    <w:rsid w:val="00C23FC1"/>
    <w:rsid w:val="00C26291"/>
    <w:rsid w:val="00C32CAE"/>
    <w:rsid w:val="00C35F96"/>
    <w:rsid w:val="00C370FF"/>
    <w:rsid w:val="00C53B4F"/>
    <w:rsid w:val="00C55A7F"/>
    <w:rsid w:val="00C6026A"/>
    <w:rsid w:val="00C66371"/>
    <w:rsid w:val="00C70F6D"/>
    <w:rsid w:val="00C71F13"/>
    <w:rsid w:val="00C769F2"/>
    <w:rsid w:val="00C77E49"/>
    <w:rsid w:val="00C83C74"/>
    <w:rsid w:val="00C84000"/>
    <w:rsid w:val="00C87A29"/>
    <w:rsid w:val="00C920F5"/>
    <w:rsid w:val="00C92A97"/>
    <w:rsid w:val="00C95384"/>
    <w:rsid w:val="00CC70DA"/>
    <w:rsid w:val="00CD4C7F"/>
    <w:rsid w:val="00CD5213"/>
    <w:rsid w:val="00CE024B"/>
    <w:rsid w:val="00CE14A9"/>
    <w:rsid w:val="00CE53F7"/>
    <w:rsid w:val="00CF37B8"/>
    <w:rsid w:val="00CF4F34"/>
    <w:rsid w:val="00D02965"/>
    <w:rsid w:val="00D16A84"/>
    <w:rsid w:val="00D17753"/>
    <w:rsid w:val="00D2182D"/>
    <w:rsid w:val="00D2279E"/>
    <w:rsid w:val="00D37A8D"/>
    <w:rsid w:val="00D409B7"/>
    <w:rsid w:val="00D52531"/>
    <w:rsid w:val="00D54108"/>
    <w:rsid w:val="00D710EA"/>
    <w:rsid w:val="00D80BCC"/>
    <w:rsid w:val="00D84A0A"/>
    <w:rsid w:val="00DA5DE7"/>
    <w:rsid w:val="00DB3687"/>
    <w:rsid w:val="00DB4F83"/>
    <w:rsid w:val="00DB5974"/>
    <w:rsid w:val="00DC1B87"/>
    <w:rsid w:val="00DC7AFD"/>
    <w:rsid w:val="00DD479D"/>
    <w:rsid w:val="00DD7EB2"/>
    <w:rsid w:val="00DF3198"/>
    <w:rsid w:val="00E04A26"/>
    <w:rsid w:val="00E30392"/>
    <w:rsid w:val="00E30C22"/>
    <w:rsid w:val="00E403EC"/>
    <w:rsid w:val="00E51419"/>
    <w:rsid w:val="00E539B5"/>
    <w:rsid w:val="00E549C9"/>
    <w:rsid w:val="00E563D2"/>
    <w:rsid w:val="00E62FF1"/>
    <w:rsid w:val="00E64A87"/>
    <w:rsid w:val="00E70119"/>
    <w:rsid w:val="00E71456"/>
    <w:rsid w:val="00E733C9"/>
    <w:rsid w:val="00E73FFB"/>
    <w:rsid w:val="00EA41EB"/>
    <w:rsid w:val="00EA6763"/>
    <w:rsid w:val="00EA6B22"/>
    <w:rsid w:val="00EB39A5"/>
    <w:rsid w:val="00EB3F87"/>
    <w:rsid w:val="00EB46A8"/>
    <w:rsid w:val="00EB7535"/>
    <w:rsid w:val="00EB7B42"/>
    <w:rsid w:val="00EC5D08"/>
    <w:rsid w:val="00ED1D4C"/>
    <w:rsid w:val="00ED2D31"/>
    <w:rsid w:val="00EE0E03"/>
    <w:rsid w:val="00EE6A17"/>
    <w:rsid w:val="00EE7152"/>
    <w:rsid w:val="00EF6662"/>
    <w:rsid w:val="00F104E6"/>
    <w:rsid w:val="00F12FAF"/>
    <w:rsid w:val="00F1369B"/>
    <w:rsid w:val="00F2485B"/>
    <w:rsid w:val="00F30928"/>
    <w:rsid w:val="00F477A7"/>
    <w:rsid w:val="00F60050"/>
    <w:rsid w:val="00F623B6"/>
    <w:rsid w:val="00F6438D"/>
    <w:rsid w:val="00F70035"/>
    <w:rsid w:val="00F7081A"/>
    <w:rsid w:val="00F71EE3"/>
    <w:rsid w:val="00F752D7"/>
    <w:rsid w:val="00F7578B"/>
    <w:rsid w:val="00F805BF"/>
    <w:rsid w:val="00F84823"/>
    <w:rsid w:val="00F9684D"/>
    <w:rsid w:val="00FB7DD7"/>
    <w:rsid w:val="00FC0DDD"/>
    <w:rsid w:val="00FD6879"/>
    <w:rsid w:val="00FE26AE"/>
    <w:rsid w:val="00FE4516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65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5D6"/>
    <w:pPr>
      <w:keepNext/>
      <w:jc w:val="center"/>
      <w:outlineLvl w:val="0"/>
    </w:pPr>
    <w:rPr>
      <w:rFonts w:ascii="Arial Narrow" w:hAnsi="Arial Narrow" w:cs="Arial Narrow"/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5D6"/>
    <w:pPr>
      <w:keepNext/>
      <w:widowControl w:val="0"/>
      <w:tabs>
        <w:tab w:val="left" w:pos="576"/>
        <w:tab w:val="decimal" w:pos="720"/>
        <w:tab w:val="left" w:pos="1440"/>
        <w:tab w:val="decimal" w:pos="5760"/>
      </w:tabs>
      <w:spacing w:line="480" w:lineRule="atLeast"/>
      <w:ind w:left="72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5D6"/>
    <w:pPr>
      <w:keepNext/>
      <w:widowControl w:val="0"/>
      <w:tabs>
        <w:tab w:val="left" w:pos="0"/>
        <w:tab w:val="left" w:pos="567"/>
        <w:tab w:val="left" w:pos="1134"/>
      </w:tabs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65D6"/>
    <w:pPr>
      <w:keepNext/>
      <w:widowControl w:val="0"/>
      <w:tabs>
        <w:tab w:val="decimal" w:pos="0"/>
      </w:tabs>
      <w:spacing w:after="960" w:line="240" w:lineRule="atLeast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65D6"/>
    <w:pPr>
      <w:keepNext/>
      <w:widowControl w:val="0"/>
      <w:tabs>
        <w:tab w:val="left" w:pos="432"/>
        <w:tab w:val="left" w:pos="720"/>
        <w:tab w:val="left" w:pos="5184"/>
        <w:tab w:val="left" w:pos="6192"/>
        <w:tab w:val="left" w:pos="6336"/>
      </w:tabs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65D6"/>
    <w:pPr>
      <w:keepNext/>
      <w:widowControl w:val="0"/>
      <w:tabs>
        <w:tab w:val="left" w:pos="0"/>
        <w:tab w:val="left" w:pos="1134"/>
      </w:tabs>
      <w:ind w:left="567" w:right="-2736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65D6"/>
    <w:pPr>
      <w:keepNext/>
      <w:widowControl w:val="0"/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65D6"/>
    <w:pPr>
      <w:keepNext/>
      <w:ind w:left="567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65D6"/>
    <w:pPr>
      <w:keepNext/>
      <w:ind w:left="284" w:firstLine="992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C4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4C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4C4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4C4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4C4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4C4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4C4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4C4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4C49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0065D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4C49"/>
    <w:rPr>
      <w:sz w:val="20"/>
      <w:szCs w:val="20"/>
    </w:rPr>
  </w:style>
  <w:style w:type="paragraph" w:styleId="BlockText">
    <w:name w:val="Block Text"/>
    <w:basedOn w:val="Normal"/>
    <w:uiPriority w:val="99"/>
    <w:rsid w:val="000065D6"/>
    <w:pPr>
      <w:widowControl w:val="0"/>
      <w:tabs>
        <w:tab w:val="left" w:pos="576"/>
        <w:tab w:val="left" w:pos="720"/>
        <w:tab w:val="left" w:pos="864"/>
        <w:tab w:val="left" w:pos="1152"/>
        <w:tab w:val="left" w:pos="1296"/>
        <w:tab w:val="left" w:pos="3168"/>
      </w:tabs>
      <w:ind w:left="643" w:right="49" w:hanging="76"/>
      <w:jc w:val="both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65D6"/>
    <w:pPr>
      <w:widowControl w:val="0"/>
      <w:tabs>
        <w:tab w:val="left" w:pos="567"/>
        <w:tab w:val="left" w:pos="709"/>
      </w:tabs>
      <w:ind w:left="671" w:hanging="98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4C49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065D6"/>
    <w:pPr>
      <w:widowControl w:val="0"/>
      <w:tabs>
        <w:tab w:val="left" w:pos="709"/>
        <w:tab w:val="left" w:pos="1134"/>
      </w:tabs>
      <w:ind w:left="709" w:hanging="14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14C4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065D6"/>
    <w:pPr>
      <w:widowControl w:val="0"/>
      <w:tabs>
        <w:tab w:val="left" w:pos="0"/>
      </w:tabs>
      <w:ind w:right="43"/>
      <w:jc w:val="center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4C4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065D6"/>
    <w:pPr>
      <w:widowControl w:val="0"/>
      <w:tabs>
        <w:tab w:val="left" w:pos="0"/>
        <w:tab w:val="left" w:pos="1584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4C4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065D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4C49"/>
    <w:rPr>
      <w:sz w:val="16"/>
      <w:szCs w:val="16"/>
    </w:rPr>
  </w:style>
  <w:style w:type="table" w:styleId="TableGrid">
    <w:name w:val="Table Grid"/>
    <w:basedOn w:val="TableNormal"/>
    <w:uiPriority w:val="99"/>
    <w:rsid w:val="00C064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C49"/>
    <w:rPr>
      <w:sz w:val="2"/>
      <w:szCs w:val="2"/>
    </w:rPr>
  </w:style>
  <w:style w:type="paragraph" w:customStyle="1" w:styleId="a">
    <w:name w:val="Содержимое таблицы"/>
    <w:basedOn w:val="Normal"/>
    <w:uiPriority w:val="99"/>
    <w:rsid w:val="00A84123"/>
    <w:pPr>
      <w:suppressLineNumbers/>
    </w:pPr>
    <w:rPr>
      <w:lang w:eastAsia="ar-SA"/>
    </w:rPr>
  </w:style>
  <w:style w:type="character" w:customStyle="1" w:styleId="1">
    <w:name w:val="Основной шрифт абзаца1"/>
    <w:uiPriority w:val="99"/>
    <w:rsid w:val="00547E83"/>
  </w:style>
  <w:style w:type="paragraph" w:customStyle="1" w:styleId="10">
    <w:name w:val="Текст1"/>
    <w:basedOn w:val="Normal"/>
    <w:uiPriority w:val="99"/>
    <w:rsid w:val="00F70035"/>
    <w:pPr>
      <w:suppressAutoHyphens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Normal"/>
    <w:uiPriority w:val="99"/>
    <w:rsid w:val="00F70035"/>
    <w:pPr>
      <w:suppressAutoHyphens/>
      <w:jc w:val="center"/>
    </w:pPr>
    <w:rPr>
      <w:b/>
      <w:bCs/>
      <w:sz w:val="26"/>
      <w:szCs w:val="2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F70035"/>
    <w:pPr>
      <w:suppressAutoHyphens/>
      <w:ind w:firstLine="708"/>
    </w:pPr>
    <w:rPr>
      <w:sz w:val="24"/>
      <w:szCs w:val="24"/>
      <w:lang w:eastAsia="ar-SA"/>
    </w:rPr>
  </w:style>
  <w:style w:type="paragraph" w:customStyle="1" w:styleId="BodyText23">
    <w:name w:val="Body Text 23"/>
    <w:basedOn w:val="Normal"/>
    <w:uiPriority w:val="99"/>
    <w:rsid w:val="00F70035"/>
    <w:pPr>
      <w:suppressAutoHyphens/>
    </w:pPr>
    <w:rPr>
      <w:sz w:val="28"/>
      <w:szCs w:val="28"/>
      <w:lang w:eastAsia="ar-SA"/>
    </w:rPr>
  </w:style>
  <w:style w:type="paragraph" w:customStyle="1" w:styleId="BodyText21">
    <w:name w:val="Body Text 21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22">
    <w:name w:val="Основной текст 22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BodyText22">
    <w:name w:val="Body Text 22"/>
    <w:basedOn w:val="Normal"/>
    <w:uiPriority w:val="99"/>
    <w:rsid w:val="00F70035"/>
    <w:pPr>
      <w:suppressAutoHyphens/>
      <w:ind w:firstLine="709"/>
    </w:pPr>
    <w:rPr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F70035"/>
    <w:rPr>
      <w:color w:val="000080"/>
      <w:u w:val="single"/>
    </w:rPr>
  </w:style>
  <w:style w:type="paragraph" w:customStyle="1" w:styleId="-">
    <w:name w:val="УГТП-Текст"/>
    <w:basedOn w:val="Normal"/>
    <w:uiPriority w:val="99"/>
    <w:rsid w:val="00C35F96"/>
    <w:pPr>
      <w:suppressAutoHyphens/>
      <w:ind w:left="284" w:right="284" w:firstLine="85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-1">
    <w:name w:val="УГТП-Заголовок 1"/>
    <w:basedOn w:val="Normal"/>
    <w:uiPriority w:val="99"/>
    <w:rsid w:val="00C35F96"/>
    <w:pPr>
      <w:suppressAutoHyphens/>
      <w:spacing w:before="240"/>
      <w:ind w:left="284" w:right="284" w:firstLine="851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C35F96"/>
    <w:pPr>
      <w:suppressAutoHyphens/>
      <w:ind w:firstLine="709"/>
    </w:pPr>
    <w:rPr>
      <w:color w:val="000000"/>
      <w:sz w:val="28"/>
      <w:szCs w:val="28"/>
      <w:lang w:eastAsia="ar-SA"/>
    </w:rPr>
  </w:style>
  <w:style w:type="character" w:customStyle="1" w:styleId="11">
    <w:name w:val="Заголовок 1 Знак Знак Знак"/>
    <w:uiPriority w:val="99"/>
    <w:rsid w:val="00C35F96"/>
    <w:rPr>
      <w:rFonts w:ascii="Arial" w:hAnsi="Arial" w:cs="Arial"/>
      <w:b/>
      <w:bCs/>
      <w:caps/>
      <w:color w:val="000000"/>
      <w:sz w:val="24"/>
      <w:szCs w:val="24"/>
    </w:rPr>
  </w:style>
  <w:style w:type="paragraph" w:styleId="NoSpacing">
    <w:name w:val="No Spacing"/>
    <w:uiPriority w:val="99"/>
    <w:qFormat/>
    <w:rsid w:val="00731330"/>
    <w:rPr>
      <w:sz w:val="20"/>
      <w:szCs w:val="20"/>
    </w:rPr>
  </w:style>
  <w:style w:type="paragraph" w:styleId="NormalWeb">
    <w:name w:val="Normal (Web)"/>
    <w:basedOn w:val="Normal"/>
    <w:uiPriority w:val="99"/>
    <w:rsid w:val="002D501A"/>
    <w:pPr>
      <w:spacing w:before="100" w:beforeAutospacing="1" w:after="119"/>
    </w:pPr>
    <w:rPr>
      <w:sz w:val="24"/>
      <w:szCs w:val="24"/>
    </w:rPr>
  </w:style>
  <w:style w:type="paragraph" w:customStyle="1" w:styleId="a0">
    <w:name w:val="Базовый"/>
    <w:uiPriority w:val="99"/>
    <w:rsid w:val="009301AE"/>
    <w:pPr>
      <w:tabs>
        <w:tab w:val="left" w:pos="708"/>
      </w:tabs>
      <w:suppressAutoHyphens/>
      <w:spacing w:line="100" w:lineRule="atLeast"/>
    </w:pPr>
    <w:rPr>
      <w:color w:val="00000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041D"/>
    <w:rPr>
      <w:color w:val="808080"/>
    </w:rPr>
  </w:style>
  <w:style w:type="paragraph" w:customStyle="1" w:styleId="CharChar">
    <w:name w:val="Char Char"/>
    <w:basedOn w:val="Normal"/>
    <w:uiPriority w:val="99"/>
    <w:rsid w:val="00C9538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7</Pages>
  <Words>2088</Words>
  <Characters>11904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ЛИСТ ОПИСИ </dc:title>
  <dc:subject/>
  <dc:creator>Виталий</dc:creator>
  <cp:keywords/>
  <dc:description/>
  <cp:lastModifiedBy>Архитектор</cp:lastModifiedBy>
  <cp:revision>13</cp:revision>
  <cp:lastPrinted>2012-09-05T09:12:00Z</cp:lastPrinted>
  <dcterms:created xsi:type="dcterms:W3CDTF">2013-07-06T05:47:00Z</dcterms:created>
  <dcterms:modified xsi:type="dcterms:W3CDTF">2013-09-18T17:08:00Z</dcterms:modified>
</cp:coreProperties>
</file>